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66B04" w:rsidRPr="00066B04" w14:paraId="726DE96D" w14:textId="77777777">
        <w:trPr>
          <w:jc w:val="center"/>
        </w:trPr>
        <w:tc>
          <w:tcPr>
            <w:tcW w:w="0" w:type="auto"/>
            <w:shd w:val="clear" w:color="auto" w:fill="15323A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66B04" w:rsidRPr="00066B04" w14:paraId="199381F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011110EF" w14:textId="77777777" w:rsidR="00066B04" w:rsidRPr="00066B04" w:rsidRDefault="00066B04" w:rsidP="0096257D">
                  <w:pPr>
                    <w:spacing w:after="120" w:line="240" w:lineRule="auto"/>
                    <w:jc w:val="both"/>
                    <w:outlineLvl w:val="3"/>
                    <w:rPr>
                      <w:rFonts w:ascii="Helvetica" w:eastAsia="Times New Roman" w:hAnsi="Helvetica" w:cs="Helvetica"/>
                      <w:b/>
                      <w:bCs/>
                      <w:caps/>
                      <w:color w:val="FFFFFF"/>
                      <w:sz w:val="24"/>
                      <w:szCs w:val="24"/>
                      <w:lang w:eastAsia="tr-TR"/>
                    </w:rPr>
                  </w:pPr>
                  <w:r w:rsidRPr="00066B04">
                    <w:rPr>
                      <w:rFonts w:ascii="Helvetica" w:eastAsia="Times New Roman" w:hAnsi="Helvetica" w:cs="Helvetica"/>
                      <w:b/>
                      <w:bCs/>
                      <w:caps/>
                      <w:color w:val="FFFFFF"/>
                      <w:sz w:val="24"/>
                      <w:szCs w:val="24"/>
                      <w:lang w:eastAsia="tr-TR"/>
                    </w:rPr>
                    <w:t>FRUCOM NEWSLETTER 30/01/2023</w:t>
                  </w:r>
                </w:p>
                <w:p w14:paraId="06C34DB6" w14:textId="77777777" w:rsidR="00066B04" w:rsidRPr="00066B04" w:rsidRDefault="00066B04" w:rsidP="0096257D">
                  <w:pPr>
                    <w:numPr>
                      <w:ilvl w:val="0"/>
                      <w:numId w:val="1"/>
                    </w:numPr>
                    <w:spacing w:after="120" w:line="240" w:lineRule="auto"/>
                    <w:ind w:left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</w:pPr>
                  <w:r w:rsidRPr="00066B04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FRUCOM ACTIVITIES</w:t>
                  </w:r>
                </w:p>
                <w:p w14:paraId="0D88EB08" w14:textId="77777777" w:rsidR="00066B04" w:rsidRPr="00066B04" w:rsidRDefault="00066B04" w:rsidP="0096257D">
                  <w:pPr>
                    <w:numPr>
                      <w:ilvl w:val="1"/>
                      <w:numId w:val="1"/>
                    </w:numPr>
                    <w:spacing w:after="120" w:line="240" w:lineRule="auto"/>
                    <w:ind w:left="0"/>
                    <w:jc w:val="both"/>
                    <w:rPr>
                      <w:rFonts w:ascii="Helvetica" w:eastAsia="Times New Roman" w:hAnsi="Helvetica" w:cs="Helvetica"/>
                      <w:color w:val="FFFFFF"/>
                      <w:sz w:val="24"/>
                      <w:szCs w:val="24"/>
                      <w:lang w:eastAsia="tr-TR"/>
                    </w:rPr>
                  </w:pPr>
                  <w:hyperlink r:id="rId5" w:history="1"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Registration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Open: FRUCOM Online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Sustainability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Working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Group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Meeting 14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March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2023</w:t>
                    </w:r>
                  </w:hyperlink>
                </w:p>
                <w:p w14:paraId="58AD3B74" w14:textId="77777777" w:rsidR="00066B04" w:rsidRPr="00066B04" w:rsidRDefault="00066B04" w:rsidP="0096257D">
                  <w:pPr>
                    <w:numPr>
                      <w:ilvl w:val="0"/>
                      <w:numId w:val="1"/>
                    </w:numPr>
                    <w:spacing w:after="120" w:line="240" w:lineRule="auto"/>
                    <w:ind w:left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</w:pPr>
                  <w:r w:rsidRPr="00066B04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ALL PRODUCTS</w:t>
                  </w:r>
                </w:p>
                <w:p w14:paraId="08CEB36A" w14:textId="77777777" w:rsidR="00066B04" w:rsidRPr="00066B04" w:rsidRDefault="00066B04" w:rsidP="0096257D">
                  <w:pPr>
                    <w:numPr>
                      <w:ilvl w:val="1"/>
                      <w:numId w:val="1"/>
                    </w:numPr>
                    <w:spacing w:after="120" w:line="240" w:lineRule="auto"/>
                    <w:ind w:left="0"/>
                    <w:jc w:val="both"/>
                    <w:rPr>
                      <w:rFonts w:ascii="Helvetica" w:eastAsia="Times New Roman" w:hAnsi="Helvetica" w:cs="Helvetica"/>
                      <w:color w:val="FFFFFF"/>
                      <w:sz w:val="24"/>
                      <w:szCs w:val="24"/>
                      <w:lang w:eastAsia="tr-TR"/>
                    </w:rPr>
                  </w:pPr>
                  <w:hyperlink r:id="rId6" w:history="1"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Frucom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Q&amp;A: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Proposed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Prohibited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forms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of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packaging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under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the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Packaging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and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Packaging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Waste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Regulation</w:t>
                    </w:r>
                    <w:proofErr w:type="spellEnd"/>
                  </w:hyperlink>
                </w:p>
                <w:p w14:paraId="7CC59244" w14:textId="77777777" w:rsidR="00066B04" w:rsidRPr="00066B04" w:rsidRDefault="00066B04" w:rsidP="0096257D">
                  <w:pPr>
                    <w:numPr>
                      <w:ilvl w:val="1"/>
                      <w:numId w:val="1"/>
                    </w:numPr>
                    <w:spacing w:after="120" w:line="240" w:lineRule="auto"/>
                    <w:ind w:left="0"/>
                    <w:jc w:val="both"/>
                    <w:rPr>
                      <w:rFonts w:ascii="Helvetica" w:eastAsia="Times New Roman" w:hAnsi="Helvetica" w:cs="Helvetica"/>
                      <w:color w:val="FFFFFF"/>
                      <w:sz w:val="24"/>
                      <w:szCs w:val="24"/>
                      <w:lang w:eastAsia="tr-TR"/>
                    </w:rPr>
                  </w:pPr>
                  <w:hyperlink r:id="rId7" w:history="1"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Official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controls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: art 66/67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update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abandoned</w:t>
                    </w:r>
                    <w:proofErr w:type="spellEnd"/>
                  </w:hyperlink>
                </w:p>
                <w:p w14:paraId="428933B6" w14:textId="77777777" w:rsidR="00066B04" w:rsidRPr="00066B04" w:rsidRDefault="00066B04" w:rsidP="0096257D">
                  <w:pPr>
                    <w:numPr>
                      <w:ilvl w:val="1"/>
                      <w:numId w:val="1"/>
                    </w:numPr>
                    <w:spacing w:after="120" w:line="240" w:lineRule="auto"/>
                    <w:ind w:left="0"/>
                    <w:jc w:val="both"/>
                    <w:rPr>
                      <w:rFonts w:ascii="Helvetica" w:eastAsia="Times New Roman" w:hAnsi="Helvetica" w:cs="Helvetica"/>
                      <w:color w:val="FFFFFF"/>
                      <w:sz w:val="24"/>
                      <w:szCs w:val="24"/>
                      <w:lang w:eastAsia="tr-TR"/>
                    </w:rPr>
                  </w:pPr>
                  <w:hyperlink r:id="rId8" w:history="1"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Next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round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of EU-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Australia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FTA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negotiations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in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February</w:t>
                    </w:r>
                    <w:proofErr w:type="spellEnd"/>
                  </w:hyperlink>
                </w:p>
                <w:p w14:paraId="2491B472" w14:textId="77777777" w:rsidR="00066B04" w:rsidRPr="00066B04" w:rsidRDefault="00066B04" w:rsidP="0096257D">
                  <w:pPr>
                    <w:numPr>
                      <w:ilvl w:val="1"/>
                      <w:numId w:val="1"/>
                    </w:numPr>
                    <w:spacing w:after="120" w:line="240" w:lineRule="auto"/>
                    <w:ind w:left="0"/>
                    <w:jc w:val="both"/>
                    <w:rPr>
                      <w:rFonts w:ascii="Helvetica" w:eastAsia="Times New Roman" w:hAnsi="Helvetica" w:cs="Helvetica"/>
                      <w:color w:val="FFFFFF"/>
                      <w:sz w:val="24"/>
                      <w:szCs w:val="24"/>
                      <w:lang w:eastAsia="tr-TR"/>
                    </w:rPr>
                  </w:pPr>
                  <w:hyperlink r:id="rId9" w:history="1"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EU –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Ukraine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: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one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year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suspension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of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quotas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and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tariffs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up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for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review</w:t>
                    </w:r>
                    <w:proofErr w:type="spellEnd"/>
                  </w:hyperlink>
                </w:p>
                <w:p w14:paraId="04C43F67" w14:textId="77777777" w:rsidR="00066B04" w:rsidRPr="00066B04" w:rsidRDefault="00066B04" w:rsidP="0096257D">
                  <w:pPr>
                    <w:numPr>
                      <w:ilvl w:val="1"/>
                      <w:numId w:val="1"/>
                    </w:numPr>
                    <w:spacing w:after="120" w:line="240" w:lineRule="auto"/>
                    <w:ind w:left="0"/>
                    <w:jc w:val="both"/>
                    <w:rPr>
                      <w:rFonts w:ascii="Helvetica" w:eastAsia="Times New Roman" w:hAnsi="Helvetica" w:cs="Helvetica"/>
                      <w:color w:val="FFFFFF"/>
                      <w:sz w:val="24"/>
                      <w:szCs w:val="24"/>
                      <w:lang w:eastAsia="tr-TR"/>
                    </w:rPr>
                  </w:pPr>
                  <w:hyperlink r:id="rId10" w:history="1"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Pesticides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: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new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MRLs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for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cycloxydim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,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cyflumetofen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,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cyfluthrin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,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metobromuron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and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penthiopyrad</w:t>
                    </w:r>
                    <w:proofErr w:type="spellEnd"/>
                  </w:hyperlink>
                </w:p>
                <w:p w14:paraId="77C0F88E" w14:textId="77777777" w:rsidR="00066B04" w:rsidRPr="00066B04" w:rsidRDefault="00066B04" w:rsidP="0096257D">
                  <w:pPr>
                    <w:numPr>
                      <w:ilvl w:val="1"/>
                      <w:numId w:val="1"/>
                    </w:numPr>
                    <w:spacing w:after="120" w:line="240" w:lineRule="auto"/>
                    <w:ind w:left="0"/>
                    <w:jc w:val="both"/>
                    <w:rPr>
                      <w:rFonts w:ascii="Helvetica" w:eastAsia="Times New Roman" w:hAnsi="Helvetica" w:cs="Helvetica"/>
                      <w:color w:val="FFFFFF"/>
                      <w:sz w:val="24"/>
                      <w:szCs w:val="24"/>
                      <w:lang w:eastAsia="tr-TR"/>
                    </w:rPr>
                  </w:pPr>
                  <w:hyperlink r:id="rId11" w:history="1"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Pesticides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: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new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oxathiapiprolin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MRL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for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blueberries</w:t>
                    </w:r>
                    <w:proofErr w:type="spellEnd"/>
                  </w:hyperlink>
                </w:p>
                <w:p w14:paraId="410C4AE2" w14:textId="77777777" w:rsidR="00066B04" w:rsidRPr="00066B04" w:rsidRDefault="00066B04" w:rsidP="0096257D">
                  <w:pPr>
                    <w:numPr>
                      <w:ilvl w:val="1"/>
                      <w:numId w:val="1"/>
                    </w:numPr>
                    <w:spacing w:after="120" w:line="240" w:lineRule="auto"/>
                    <w:ind w:left="0"/>
                    <w:jc w:val="both"/>
                    <w:rPr>
                      <w:rFonts w:ascii="Helvetica" w:eastAsia="Times New Roman" w:hAnsi="Helvetica" w:cs="Helvetica"/>
                      <w:color w:val="FFFFFF"/>
                      <w:sz w:val="24"/>
                      <w:szCs w:val="24"/>
                      <w:lang w:eastAsia="tr-TR"/>
                    </w:rPr>
                  </w:pPr>
                  <w:hyperlink r:id="rId12" w:history="1"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Organics: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some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changes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for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the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list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of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control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authorities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and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control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bodies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for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the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purpose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of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importing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organic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products</w:t>
                    </w:r>
                    <w:proofErr w:type="spellEnd"/>
                  </w:hyperlink>
                </w:p>
                <w:p w14:paraId="0FA19E24" w14:textId="77777777" w:rsidR="00066B04" w:rsidRPr="00066B04" w:rsidRDefault="00066B04" w:rsidP="0096257D">
                  <w:pPr>
                    <w:numPr>
                      <w:ilvl w:val="1"/>
                      <w:numId w:val="1"/>
                    </w:numPr>
                    <w:spacing w:after="120" w:line="240" w:lineRule="auto"/>
                    <w:ind w:left="0"/>
                    <w:jc w:val="both"/>
                    <w:rPr>
                      <w:rFonts w:ascii="Helvetica" w:eastAsia="Times New Roman" w:hAnsi="Helvetica" w:cs="Helvetica"/>
                      <w:color w:val="FFFFFF"/>
                      <w:sz w:val="24"/>
                      <w:szCs w:val="24"/>
                      <w:lang w:eastAsia="tr-TR"/>
                    </w:rPr>
                  </w:pPr>
                  <w:hyperlink r:id="rId13" w:history="1"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Pesticides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: Meeting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minutes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of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the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proofErr w:type="gram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Phytopharmaceuticals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-</w:t>
                    </w:r>
                    <w:proofErr w:type="gram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Legislation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13 - 14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October</w:t>
                    </w:r>
                    <w:proofErr w:type="spell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2022 </w:t>
                    </w:r>
                    <w:proofErr w:type="spell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published</w:t>
                    </w:r>
                    <w:proofErr w:type="spellEnd"/>
                  </w:hyperlink>
                </w:p>
                <w:p w14:paraId="463C7CFB" w14:textId="77777777" w:rsidR="00066B04" w:rsidRPr="00066B04" w:rsidRDefault="00066B04" w:rsidP="0096257D">
                  <w:pPr>
                    <w:numPr>
                      <w:ilvl w:val="1"/>
                      <w:numId w:val="1"/>
                    </w:numPr>
                    <w:spacing w:after="120" w:line="240" w:lineRule="auto"/>
                    <w:ind w:left="0"/>
                    <w:jc w:val="both"/>
                    <w:rPr>
                      <w:rFonts w:ascii="Helvetica" w:eastAsia="Times New Roman" w:hAnsi="Helvetica" w:cs="Helvetica"/>
                      <w:color w:val="FFFFFF"/>
                      <w:sz w:val="24"/>
                      <w:szCs w:val="24"/>
                      <w:lang w:eastAsia="tr-TR"/>
                    </w:rPr>
                  </w:pPr>
                  <w:hyperlink r:id="rId14" w:history="1"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RASFF NOTIFICATIONS: 2023/04 (23/01/</w:t>
                    </w:r>
                    <w:proofErr w:type="gramStart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2023 -</w:t>
                    </w:r>
                    <w:proofErr w:type="gramEnd"/>
                    <w:r w:rsidRPr="00066B04">
                      <w:rPr>
                        <w:rFonts w:ascii="Helvetica" w:eastAsia="Times New Roman" w:hAnsi="Helvetica" w:cs="Helvetica"/>
                        <w:color w:val="FFFFFF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29/01/2023)</w:t>
                    </w:r>
                  </w:hyperlink>
                </w:p>
              </w:tc>
            </w:tr>
            <w:tr w:rsidR="00066B04" w:rsidRPr="00066B04" w14:paraId="2A02101E" w14:textId="77777777">
              <w:trPr>
                <w:trHeight w:val="24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AEE10A9" w14:textId="77777777" w:rsidR="00066B04" w:rsidRPr="00066B04" w:rsidRDefault="00066B04" w:rsidP="0096257D">
                  <w:pPr>
                    <w:numPr>
                      <w:ilvl w:val="1"/>
                      <w:numId w:val="1"/>
                    </w:numPr>
                    <w:spacing w:after="120" w:line="240" w:lineRule="auto"/>
                    <w:ind w:left="0"/>
                    <w:jc w:val="both"/>
                    <w:rPr>
                      <w:rFonts w:ascii="Helvetica" w:eastAsia="Times New Roman" w:hAnsi="Helvetica" w:cs="Helvetica"/>
                      <w:color w:val="FFFFFF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2C3117E1" w14:textId="77777777" w:rsidR="00066B04" w:rsidRPr="00066B04" w:rsidRDefault="00066B04" w:rsidP="0096257D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2D2D38"/>
                <w:sz w:val="24"/>
                <w:szCs w:val="24"/>
                <w:lang w:eastAsia="tr-TR"/>
              </w:rPr>
            </w:pPr>
          </w:p>
        </w:tc>
      </w:tr>
      <w:tr w:rsidR="00066B04" w:rsidRPr="00066B04" w14:paraId="62CE603B" w14:textId="7777777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66B04" w:rsidRPr="00066B04" w14:paraId="24AB31AC" w14:textId="77777777">
              <w:trPr>
                <w:trHeight w:val="6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DA100DE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066B04" w:rsidRPr="00066B04" w14:paraId="4C5D0F3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69D520C" w14:textId="77777777" w:rsidR="00066B04" w:rsidRPr="00066B04" w:rsidRDefault="00066B04" w:rsidP="0096257D">
                  <w:pPr>
                    <w:numPr>
                      <w:ilvl w:val="0"/>
                      <w:numId w:val="2"/>
                    </w:numPr>
                    <w:spacing w:after="120" w:line="240" w:lineRule="auto"/>
                    <w:ind w:left="0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FF8C00"/>
                      <w:sz w:val="28"/>
                      <w:szCs w:val="28"/>
                      <w:lang w:eastAsia="tr-TR"/>
                    </w:rPr>
                  </w:pPr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FF8C00"/>
                      <w:sz w:val="28"/>
                      <w:szCs w:val="28"/>
                      <w:lang w:eastAsia="tr-TR"/>
                    </w:rPr>
                    <w:t>FRUCOM ACTIVITIES</w:t>
                  </w:r>
                </w:p>
                <w:p w14:paraId="6C6189E5" w14:textId="77777777" w:rsidR="00066B04" w:rsidRPr="00066B04" w:rsidRDefault="00066B04" w:rsidP="0096257D">
                  <w:pPr>
                    <w:numPr>
                      <w:ilvl w:val="1"/>
                      <w:numId w:val="2"/>
                    </w:numPr>
                    <w:spacing w:after="120" w:line="240" w:lineRule="auto"/>
                    <w:ind w:left="0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sz w:val="24"/>
                      <w:szCs w:val="24"/>
                      <w:lang w:eastAsia="tr-TR"/>
                    </w:rPr>
                  </w:pPr>
                  <w:hyperlink r:id="rId15" w:history="1">
                    <w:r w:rsidRPr="00066B04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REGISTRATION OPEN: FRUCOM ONLINE SUSTAINABILITY WORKING GROUP MEETING 14 MARCH 2023</w:t>
                    </w:r>
                  </w:hyperlink>
                </w:p>
                <w:p w14:paraId="74F419D6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next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meeting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Sustainability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Working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Group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will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take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place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on 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Tuesday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14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March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2023, 16h30 CET.</w:t>
                  </w:r>
                </w:p>
                <w:p w14:paraId="53902C7D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meeting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will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explore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 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Living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income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living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wages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agri-food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supply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chains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.</w:t>
                  </w:r>
                </w:p>
                <w:p w14:paraId="5D079A17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Please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register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using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following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link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by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Tuesday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28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February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2023:</w:t>
                  </w:r>
                </w:p>
                <w:p w14:paraId="07AF46AA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hyperlink r:id="rId16" w:history="1">
                    <w:r w:rsidRPr="00066B04">
                      <w:rPr>
                        <w:rFonts w:ascii="Arial" w:eastAsia="Times New Roman" w:hAnsi="Arial" w:cs="Arial"/>
                        <w:color w:val="0087B9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https://forms.gle/orjhGqtngFYNUhXe9</w:t>
                    </w:r>
                  </w:hyperlink>
                </w:p>
                <w:p w14:paraId="6A36A738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 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Confirmed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speakers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:</w:t>
                  </w:r>
                </w:p>
                <w:p w14:paraId="4DBA09C7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Lisa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van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Wageningen</w:t>
                  </w:r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 </w:t>
                  </w:r>
                  <w:r w:rsidRPr="00066B04">
                    <w:rPr>
                      <w:rFonts w:ascii="Arial" w:eastAsia="Times New Roman" w:hAnsi="Arial" w:cs="Arial"/>
                      <w:i/>
                      <w:iCs/>
                      <w:color w:val="2D2D38"/>
                      <w:sz w:val="24"/>
                      <w:szCs w:val="24"/>
                      <w:lang w:eastAsia="tr-TR"/>
                    </w:rPr>
                    <w:t>IDH Program Manager</w:t>
                  </w:r>
                </w:p>
                <w:p w14:paraId="7515E97D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Leonard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Mizzi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 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i/>
                      <w:iCs/>
                      <w:color w:val="2D2D38"/>
                      <w:sz w:val="24"/>
                      <w:szCs w:val="24"/>
                      <w:lang w:eastAsia="tr-TR"/>
                    </w:rPr>
                    <w:t>European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i/>
                      <w:i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i/>
                      <w:iCs/>
                      <w:color w:val="2D2D38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i/>
                      <w:iCs/>
                      <w:color w:val="2D2D38"/>
                      <w:sz w:val="24"/>
                      <w:szCs w:val="24"/>
                      <w:lang w:eastAsia="tr-TR"/>
                    </w:rPr>
                    <w:t xml:space="preserve"> – DG INTPA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i/>
                      <w:iCs/>
                      <w:color w:val="2D2D38"/>
                      <w:sz w:val="24"/>
                      <w:szCs w:val="24"/>
                      <w:lang w:eastAsia="tr-TR"/>
                    </w:rPr>
                    <w:t>Head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i/>
                      <w:iCs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i/>
                      <w:iCs/>
                      <w:color w:val="2D2D38"/>
                      <w:sz w:val="24"/>
                      <w:szCs w:val="24"/>
                      <w:lang w:eastAsia="tr-TR"/>
                    </w:rPr>
                    <w:t>Unit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i/>
                      <w:i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i/>
                      <w:iCs/>
                      <w:color w:val="2D2D38"/>
                      <w:sz w:val="24"/>
                      <w:szCs w:val="24"/>
                      <w:lang w:eastAsia="tr-TR"/>
                    </w:rPr>
                    <w:t>Sustainable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i/>
                      <w:i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i/>
                      <w:iCs/>
                      <w:color w:val="2D2D38"/>
                      <w:sz w:val="24"/>
                      <w:szCs w:val="24"/>
                      <w:lang w:eastAsia="tr-TR"/>
                    </w:rPr>
                    <w:t>Agri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i/>
                      <w:iCs/>
                      <w:color w:val="2D2D38"/>
                      <w:sz w:val="24"/>
                      <w:szCs w:val="24"/>
                      <w:lang w:eastAsia="tr-TR"/>
                    </w:rPr>
                    <w:t xml:space="preserve">-Food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i/>
                      <w:iCs/>
                      <w:color w:val="2D2D38"/>
                      <w:sz w:val="24"/>
                      <w:szCs w:val="24"/>
                      <w:lang w:eastAsia="tr-TR"/>
                    </w:rPr>
                    <w:t>systems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i/>
                      <w:i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i/>
                      <w:iCs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i/>
                      <w:i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i/>
                      <w:iCs/>
                      <w:color w:val="2D2D38"/>
                      <w:sz w:val="24"/>
                      <w:szCs w:val="24"/>
                      <w:lang w:eastAsia="tr-TR"/>
                    </w:rPr>
                    <w:t>Fisheries</w:t>
                  </w:r>
                  <w:proofErr w:type="spellEnd"/>
                </w:p>
                <w:p w14:paraId="64AB4436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Ömer Oktay</w:t>
                  </w:r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 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i/>
                      <w:iCs/>
                      <w:color w:val="2D2D38"/>
                      <w:sz w:val="24"/>
                      <w:szCs w:val="24"/>
                      <w:lang w:eastAsia="tr-TR"/>
                    </w:rPr>
                    <w:t>Voicevale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, 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i/>
                      <w:iCs/>
                      <w:color w:val="2D2D38"/>
                      <w:sz w:val="24"/>
                      <w:szCs w:val="24"/>
                      <w:lang w:eastAsia="tr-TR"/>
                    </w:rPr>
                    <w:t>Sustainability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i/>
                      <w:iCs/>
                      <w:color w:val="2D2D38"/>
                      <w:sz w:val="24"/>
                      <w:szCs w:val="24"/>
                      <w:lang w:eastAsia="tr-TR"/>
                    </w:rPr>
                    <w:t xml:space="preserve"> Manager</w:t>
                  </w:r>
                </w:p>
                <w:p w14:paraId="1964C9B9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FRUCOM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members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invited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share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additional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sustainability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issues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discuss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under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AOB. 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draft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agenda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will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be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shared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coming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days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.</w:t>
                  </w:r>
                </w:p>
                <w:p w14:paraId="79CC826A" w14:textId="77777777" w:rsidR="00066B04" w:rsidRPr="00066B04" w:rsidRDefault="00066B04" w:rsidP="0096257D">
                  <w:pPr>
                    <w:numPr>
                      <w:ilvl w:val="0"/>
                      <w:numId w:val="2"/>
                    </w:numPr>
                    <w:spacing w:after="120" w:line="240" w:lineRule="auto"/>
                    <w:ind w:left="0"/>
                    <w:jc w:val="both"/>
                    <w:outlineLvl w:val="1"/>
                    <w:rPr>
                      <w:rFonts w:ascii="Arial" w:eastAsia="Times New Roman" w:hAnsi="Arial" w:cs="Arial"/>
                      <w:color w:val="FF8C00"/>
                      <w:sz w:val="24"/>
                      <w:szCs w:val="24"/>
                      <w:lang w:eastAsia="tr-TR"/>
                    </w:rPr>
                  </w:pPr>
                </w:p>
                <w:p w14:paraId="4C6D09D1" w14:textId="39BF4526" w:rsidR="00066B04" w:rsidRPr="00066B04" w:rsidRDefault="00066B04" w:rsidP="0096257D">
                  <w:pPr>
                    <w:numPr>
                      <w:ilvl w:val="0"/>
                      <w:numId w:val="2"/>
                    </w:numPr>
                    <w:spacing w:after="120" w:line="240" w:lineRule="auto"/>
                    <w:ind w:left="0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FF8C00"/>
                      <w:sz w:val="28"/>
                      <w:szCs w:val="28"/>
                      <w:lang w:eastAsia="tr-TR"/>
                    </w:rPr>
                  </w:pPr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FF8C00"/>
                      <w:sz w:val="28"/>
                      <w:szCs w:val="28"/>
                      <w:lang w:eastAsia="tr-TR"/>
                    </w:rPr>
                    <w:lastRenderedPageBreak/>
                    <w:t>ALL PRODUCTS</w:t>
                  </w:r>
                </w:p>
                <w:p w14:paraId="0E1E8107" w14:textId="77777777" w:rsidR="00066B04" w:rsidRPr="00066B04" w:rsidRDefault="00066B04" w:rsidP="0096257D">
                  <w:pPr>
                    <w:numPr>
                      <w:ilvl w:val="1"/>
                      <w:numId w:val="2"/>
                    </w:numPr>
                    <w:spacing w:after="120" w:line="240" w:lineRule="auto"/>
                    <w:ind w:left="0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sz w:val="24"/>
                      <w:szCs w:val="24"/>
                      <w:lang w:eastAsia="tr-TR"/>
                    </w:rPr>
                  </w:pPr>
                  <w:hyperlink r:id="rId17" w:history="1">
                    <w:r w:rsidRPr="00066B04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FRUCOM Q&amp;A: PROPOSED PROHIBITED FORMS OF PACKAGING UNDER THE PACKAGING AND PACKAGING WASTE REGULATION</w:t>
                    </w:r>
                  </w:hyperlink>
                </w:p>
                <w:p w14:paraId="4348A4D0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Are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there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packaging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forms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which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are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proposed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be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banned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?</w:t>
                  </w:r>
                </w:p>
                <w:p w14:paraId="54E78D0A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short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answer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is </w:t>
                  </w:r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YES</w:t>
                  </w:r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.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This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will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include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 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single-use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 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2D2D38"/>
                      <w:sz w:val="24"/>
                      <w:szCs w:val="24"/>
                      <w:lang w:eastAsia="tr-TR"/>
                    </w:rPr>
                    <w:t>plastic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 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grouped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packaging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 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group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goods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sold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in 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cans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tins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pots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,</w:t>
                  </w:r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 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tubs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, as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well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as 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Single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use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packaging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HORECA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sector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containing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individual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portions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servings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used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condiments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preserves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amongst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others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.</w:t>
                  </w:r>
                </w:p>
                <w:p w14:paraId="521A8B6E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Read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More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: </w:t>
                  </w:r>
                  <w:hyperlink r:id="rId18" w:history="1">
                    <w:r w:rsidRPr="00066B04">
                      <w:rPr>
                        <w:rFonts w:ascii="Arial" w:eastAsia="Times New Roman" w:hAnsi="Arial" w:cs="Arial"/>
                        <w:color w:val="0087B9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Q </w:t>
                    </w:r>
                    <w:proofErr w:type="spellStart"/>
                    <w:r w:rsidRPr="00066B04">
                      <w:rPr>
                        <w:rFonts w:ascii="Arial" w:eastAsia="Times New Roman" w:hAnsi="Arial" w:cs="Arial"/>
                        <w:color w:val="0087B9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and</w:t>
                    </w:r>
                    <w:proofErr w:type="spellEnd"/>
                    <w:r w:rsidRPr="00066B04">
                      <w:rPr>
                        <w:rFonts w:ascii="Arial" w:eastAsia="Times New Roman" w:hAnsi="Arial" w:cs="Arial"/>
                        <w:color w:val="0087B9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A on </w:t>
                    </w:r>
                    <w:proofErr w:type="gramStart"/>
                    <w:r w:rsidRPr="00066B04">
                      <w:rPr>
                        <w:rFonts w:ascii="Arial" w:eastAsia="Times New Roman" w:hAnsi="Arial" w:cs="Arial"/>
                        <w:color w:val="0087B9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PPWR -</w:t>
                    </w:r>
                    <w:proofErr w:type="gramEnd"/>
                    <w:r w:rsidRPr="00066B04">
                      <w:rPr>
                        <w:rFonts w:ascii="Arial" w:eastAsia="Times New Roman" w:hAnsi="Arial" w:cs="Arial"/>
                        <w:color w:val="0087B9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Arial" w:eastAsia="Times New Roman" w:hAnsi="Arial" w:cs="Arial"/>
                        <w:color w:val="0087B9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Proposed</w:t>
                    </w:r>
                    <w:proofErr w:type="spellEnd"/>
                    <w:r w:rsidRPr="00066B04">
                      <w:rPr>
                        <w:rFonts w:ascii="Arial" w:eastAsia="Times New Roman" w:hAnsi="Arial" w:cs="Arial"/>
                        <w:color w:val="0087B9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Arial" w:eastAsia="Times New Roman" w:hAnsi="Arial" w:cs="Arial"/>
                        <w:color w:val="0087B9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Prohibited</w:t>
                    </w:r>
                    <w:proofErr w:type="spellEnd"/>
                    <w:r w:rsidRPr="00066B04">
                      <w:rPr>
                        <w:rFonts w:ascii="Arial" w:eastAsia="Times New Roman" w:hAnsi="Arial" w:cs="Arial"/>
                        <w:color w:val="0087B9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Arial" w:eastAsia="Times New Roman" w:hAnsi="Arial" w:cs="Arial"/>
                        <w:color w:val="0087B9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forms</w:t>
                    </w:r>
                    <w:proofErr w:type="spellEnd"/>
                    <w:r w:rsidRPr="00066B04">
                      <w:rPr>
                        <w:rFonts w:ascii="Arial" w:eastAsia="Times New Roman" w:hAnsi="Arial" w:cs="Arial"/>
                        <w:color w:val="0087B9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of </w:t>
                    </w:r>
                    <w:proofErr w:type="spellStart"/>
                    <w:r w:rsidRPr="00066B04">
                      <w:rPr>
                        <w:rFonts w:ascii="Arial" w:eastAsia="Times New Roman" w:hAnsi="Arial" w:cs="Arial"/>
                        <w:color w:val="0087B9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Packaging</w:t>
                    </w:r>
                    <w:proofErr w:type="spellEnd"/>
                    <w:r w:rsidRPr="00066B04">
                      <w:rPr>
                        <w:rFonts w:ascii="Arial" w:eastAsia="Times New Roman" w:hAnsi="Arial" w:cs="Arial"/>
                        <w:color w:val="0087B9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Arial" w:eastAsia="Times New Roman" w:hAnsi="Arial" w:cs="Arial"/>
                        <w:color w:val="0087B9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for</w:t>
                    </w:r>
                    <w:proofErr w:type="spellEnd"/>
                    <w:r w:rsidRPr="00066B04">
                      <w:rPr>
                        <w:rFonts w:ascii="Arial" w:eastAsia="Times New Roman" w:hAnsi="Arial" w:cs="Arial"/>
                        <w:color w:val="0087B9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</w:t>
                    </w:r>
                    <w:proofErr w:type="spellStart"/>
                    <w:r w:rsidRPr="00066B04">
                      <w:rPr>
                        <w:rFonts w:ascii="Arial" w:eastAsia="Times New Roman" w:hAnsi="Arial" w:cs="Arial"/>
                        <w:color w:val="0087B9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members</w:t>
                    </w:r>
                    <w:proofErr w:type="spellEnd"/>
                    <w:r w:rsidRPr="00066B04">
                      <w:rPr>
                        <w:rFonts w:ascii="Arial" w:eastAsia="Times New Roman" w:hAnsi="Arial" w:cs="Arial"/>
                        <w:color w:val="0087B9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 </w:t>
                    </w:r>
                  </w:hyperlink>
                  <w:hyperlink r:id="rId19" w:history="1">
                    <w:r w:rsidRPr="00066B04">
                      <w:rPr>
                        <w:rFonts w:ascii="Arial" w:eastAsia="Times New Roman" w:hAnsi="Arial" w:cs="Arial"/>
                        <w:color w:val="2D2D38"/>
                        <w:sz w:val="24"/>
                        <w:szCs w:val="24"/>
                        <w:bdr w:val="none" w:sz="0" w:space="0" w:color="auto" w:frame="1"/>
                        <w:lang w:eastAsia="tr-TR"/>
                      </w:rPr>
                      <w:br/>
                    </w:r>
                  </w:hyperlink>
                </w:p>
                <w:p w14:paraId="5F63C9C9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This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FRUCOM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Questions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Answers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document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(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document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is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information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purposes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only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) is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second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in of 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series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be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published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over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coming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weeks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.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It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looks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at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products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be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banned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under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proposal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Packaging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Packaging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Waste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.</w:t>
                  </w:r>
                </w:p>
                <w:p w14:paraId="12410129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Members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are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invited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contact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FRUCOM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if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there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are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any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concerns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opinions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they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wish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share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regarding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b/>
                      <w:bCs/>
                      <w:color w:val="2D2D38"/>
                      <w:sz w:val="24"/>
                      <w:szCs w:val="24"/>
                      <w:lang w:eastAsia="tr-TR"/>
                    </w:rPr>
                    <w:t xml:space="preserve"> PPWR.</w:t>
                  </w:r>
                </w:p>
                <w:p w14:paraId="62D62CE7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Background</w:t>
                  </w:r>
                </w:p>
                <w:p w14:paraId="4D857DCC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European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presented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on 30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November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draft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European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Parliament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Council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packaging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packaging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waste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amending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(EU) 2019/1020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Directive (EU) 2019/904,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repealing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Directive 94/62/EC.</w:t>
                  </w:r>
                </w:p>
                <w:p w14:paraId="1537D9D2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feedback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period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proposal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was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opened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on 01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December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2022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has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now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been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further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extended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 </w:t>
                  </w:r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27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March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2023</w:t>
                  </w:r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 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will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continue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be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extended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every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day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until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adopted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proposal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is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available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all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EU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languages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.</w:t>
                  </w:r>
                </w:p>
                <w:p w14:paraId="2F0DD045" w14:textId="77777777" w:rsidR="0096257D" w:rsidRDefault="0096257D" w:rsidP="0096257D">
                  <w:pPr>
                    <w:numPr>
                      <w:ilvl w:val="1"/>
                      <w:numId w:val="2"/>
                    </w:numPr>
                    <w:spacing w:after="120" w:line="240" w:lineRule="auto"/>
                    <w:ind w:left="0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sz w:val="24"/>
                      <w:szCs w:val="24"/>
                      <w:lang w:eastAsia="tr-TR"/>
                    </w:rPr>
                  </w:pPr>
                </w:p>
                <w:p w14:paraId="5710098F" w14:textId="3E7F2727" w:rsidR="00066B04" w:rsidRPr="00066B04" w:rsidRDefault="00066B04" w:rsidP="0096257D">
                  <w:pPr>
                    <w:numPr>
                      <w:ilvl w:val="1"/>
                      <w:numId w:val="2"/>
                    </w:numPr>
                    <w:spacing w:after="120" w:line="240" w:lineRule="auto"/>
                    <w:ind w:left="0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sz w:val="24"/>
                      <w:szCs w:val="24"/>
                      <w:lang w:eastAsia="tr-TR"/>
                    </w:rPr>
                  </w:pPr>
                  <w:hyperlink r:id="rId20" w:history="1">
                    <w:r w:rsidRPr="00066B04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OFFICIAL CONTROLS: ART 66/67 UPDATE ABANDONED</w:t>
                    </w:r>
                  </w:hyperlink>
                </w:p>
                <w:p w14:paraId="1D4B9987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FRUCOM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received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information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from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that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draft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update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Article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66/67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Official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Controls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regarding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non-compliant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consignments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at EU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borders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–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ensuring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consistent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decisions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by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EU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countries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, has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been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abandoned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.</w:t>
                  </w:r>
                </w:p>
                <w:p w14:paraId="784D9D11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 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Services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were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not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able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an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agreement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this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implementing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act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 as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regards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legal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approach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.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is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evaluating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alternative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solutions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.</w:t>
                  </w:r>
                </w:p>
                <w:p w14:paraId="548F8AE3" w14:textId="77777777" w:rsidR="00066B04" w:rsidRPr="00066B04" w:rsidRDefault="00066B04" w:rsidP="00DD1E3D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More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information: </w:t>
                  </w:r>
                  <w:hyperlink r:id="rId21" w:history="1">
                    <w:r w:rsidRPr="00066B04">
                      <w:rPr>
                        <w:rFonts w:ascii="Arial" w:eastAsia="Times New Roman" w:hAnsi="Arial" w:cs="Arial"/>
                        <w:color w:val="0087B9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https://frucom.eu/circulars/3604:official-controls-articles-66-and-67,-status-quo-september-2022.html</w:t>
                    </w:r>
                  </w:hyperlink>
                </w:p>
                <w:p w14:paraId="7438B4DB" w14:textId="77777777" w:rsidR="0096257D" w:rsidRDefault="0096257D" w:rsidP="0096257D">
                  <w:pPr>
                    <w:numPr>
                      <w:ilvl w:val="1"/>
                      <w:numId w:val="2"/>
                    </w:numPr>
                    <w:spacing w:after="120" w:line="240" w:lineRule="auto"/>
                    <w:ind w:left="0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sz w:val="24"/>
                      <w:szCs w:val="24"/>
                      <w:lang w:eastAsia="tr-TR"/>
                    </w:rPr>
                  </w:pPr>
                </w:p>
                <w:p w14:paraId="45B96A36" w14:textId="0159FC82" w:rsidR="00066B04" w:rsidRPr="00066B04" w:rsidRDefault="00066B04" w:rsidP="0096257D">
                  <w:pPr>
                    <w:numPr>
                      <w:ilvl w:val="1"/>
                      <w:numId w:val="2"/>
                    </w:numPr>
                    <w:spacing w:after="120" w:line="240" w:lineRule="auto"/>
                    <w:ind w:left="0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sz w:val="24"/>
                      <w:szCs w:val="24"/>
                      <w:lang w:eastAsia="tr-TR"/>
                    </w:rPr>
                  </w:pPr>
                  <w:hyperlink r:id="rId22" w:history="1">
                    <w:r w:rsidRPr="00066B04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NEXT ROUND OF EU-AUSTRALIA FTA NEGOTIATIONS IN FEBRUARY</w:t>
                    </w:r>
                  </w:hyperlink>
                </w:p>
                <w:p w14:paraId="752C7BFF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fourteenth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round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EU-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Australia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FTA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negotiations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scheduled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take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place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in Canberra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between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February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6-10,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fifteenth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round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provisionally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pencilled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April/May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Brussels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according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Agra-facts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EEAS.</w:t>
                  </w:r>
                </w:p>
                <w:p w14:paraId="469DD26F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During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last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round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which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took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place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Brussels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on 17-21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October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2022,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EU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Australia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resolved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range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issues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across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FTA.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Ahead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round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parties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lastRenderedPageBreak/>
                    <w:t>exchanged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revised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goods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services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investment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market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access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offers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following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from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exchange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revised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government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procurement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offers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February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2022.</w:t>
                  </w:r>
                </w:p>
                <w:p w14:paraId="2F9EBC46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Some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points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friction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negotiations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between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two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economies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geographical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indications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which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several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hundred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which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EU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protects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that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because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Australia’s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significant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European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diaspora,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commonly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used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Australian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products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.</w:t>
                  </w:r>
                </w:p>
                <w:p w14:paraId="77A99BFF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Additionally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considers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Australia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be 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critical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partner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terms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pushing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climate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ambitions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through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EU-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Australia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FTA.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its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part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Australia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has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been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pushing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FTA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negotiations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be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concluded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before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July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after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which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2024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European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Parliament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election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cycle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will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begin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.</w:t>
                  </w:r>
                </w:p>
                <w:p w14:paraId="40D28C48" w14:textId="77777777" w:rsidR="00066B04" w:rsidRPr="00066B04" w:rsidRDefault="00066B04" w:rsidP="00DD1E3D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More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information: </w:t>
                  </w:r>
                  <w:hyperlink r:id="rId23" w:history="1">
                    <w:r w:rsidRPr="00066B04">
                      <w:rPr>
                        <w:rFonts w:ascii="Arial" w:eastAsia="Times New Roman" w:hAnsi="Arial" w:cs="Arial"/>
                        <w:color w:val="0087B9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https://www.eeas.europa.eu/delegations/australia/transition-net-zero-needs-ambitious-trade-agenda-ec-president_en?s=163</w:t>
                    </w:r>
                  </w:hyperlink>
                </w:p>
                <w:p w14:paraId="563D1BA2" w14:textId="77777777" w:rsidR="0096257D" w:rsidRDefault="0096257D" w:rsidP="0096257D">
                  <w:pPr>
                    <w:numPr>
                      <w:ilvl w:val="1"/>
                      <w:numId w:val="2"/>
                    </w:numPr>
                    <w:spacing w:after="120" w:line="240" w:lineRule="auto"/>
                    <w:ind w:left="0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sz w:val="24"/>
                      <w:szCs w:val="24"/>
                      <w:lang w:eastAsia="tr-TR"/>
                    </w:rPr>
                  </w:pPr>
                </w:p>
                <w:p w14:paraId="4202D026" w14:textId="6845BBA8" w:rsidR="00066B04" w:rsidRPr="00066B04" w:rsidRDefault="00066B04" w:rsidP="0096257D">
                  <w:pPr>
                    <w:numPr>
                      <w:ilvl w:val="1"/>
                      <w:numId w:val="2"/>
                    </w:numPr>
                    <w:spacing w:after="120" w:line="240" w:lineRule="auto"/>
                    <w:ind w:left="0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sz w:val="24"/>
                      <w:szCs w:val="24"/>
                      <w:lang w:eastAsia="tr-TR"/>
                    </w:rPr>
                  </w:pPr>
                  <w:hyperlink r:id="rId24" w:history="1">
                    <w:r w:rsidRPr="00066B04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EU – UKRAINE: ONE YEAR SUSPENSION OF QUOTAS AND TARIFFS UP FOR REVIEW</w:t>
                    </w:r>
                  </w:hyperlink>
                </w:p>
                <w:p w14:paraId="00F82C22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DG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AGRI’s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Deputy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Director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General Michael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Scannell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has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confirmed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that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forthcoming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EU-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Ukraine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Summit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Brussels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February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3</w:t>
                  </w:r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vertAlign w:val="superscript"/>
                      <w:lang w:eastAsia="tr-TR"/>
                    </w:rPr>
                    <w:t>rd</w:t>
                  </w:r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 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will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provide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an “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opportunity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discuss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our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cooperation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support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Ukraine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,”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noting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that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autonomous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trade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measures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(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suspension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tariffs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quotas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imports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from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Ukraine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until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June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2023,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including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agri-food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products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)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up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review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.</w:t>
                  </w:r>
                </w:p>
                <w:p w14:paraId="4BC1BE29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It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will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be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recalled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that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EU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autonomously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suspended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all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tariffs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quotas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applicable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Ukrainian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imports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from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5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June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2022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one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year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period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, 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measure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that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was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also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carried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out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by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UK.</w:t>
                  </w:r>
                </w:p>
                <w:p w14:paraId="62A9125F" w14:textId="77777777" w:rsidR="00066B04" w:rsidRPr="00066B04" w:rsidRDefault="00066B04" w:rsidP="00DD1E3D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More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information: </w:t>
                  </w:r>
                  <w:hyperlink r:id="rId25" w:history="1">
                    <w:r w:rsidRPr="00066B04">
                      <w:rPr>
                        <w:rFonts w:ascii="Arial" w:eastAsia="Times New Roman" w:hAnsi="Arial" w:cs="Arial"/>
                        <w:color w:val="0087B9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https://www.consilium.europa.eu/en/meetings/international-summit/2023/02/03/</w:t>
                    </w:r>
                  </w:hyperlink>
                </w:p>
                <w:p w14:paraId="71807642" w14:textId="77777777" w:rsidR="0096257D" w:rsidRDefault="0096257D" w:rsidP="0096257D">
                  <w:pPr>
                    <w:numPr>
                      <w:ilvl w:val="1"/>
                      <w:numId w:val="2"/>
                    </w:numPr>
                    <w:spacing w:after="120" w:line="240" w:lineRule="auto"/>
                    <w:ind w:left="0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sz w:val="24"/>
                      <w:szCs w:val="24"/>
                      <w:lang w:eastAsia="tr-TR"/>
                    </w:rPr>
                  </w:pPr>
                </w:p>
                <w:p w14:paraId="311324CC" w14:textId="0F34A3E6" w:rsidR="00066B04" w:rsidRPr="00066B04" w:rsidRDefault="00066B04" w:rsidP="0096257D">
                  <w:pPr>
                    <w:numPr>
                      <w:ilvl w:val="1"/>
                      <w:numId w:val="2"/>
                    </w:numPr>
                    <w:spacing w:after="120" w:line="240" w:lineRule="auto"/>
                    <w:ind w:left="0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sz w:val="24"/>
                      <w:szCs w:val="24"/>
                      <w:lang w:eastAsia="tr-TR"/>
                    </w:rPr>
                  </w:pPr>
                  <w:hyperlink r:id="rId26" w:history="1">
                    <w:r w:rsidRPr="00066B04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PESTICIDES: NEW MRLS FOR CYCLOXYDIM, CYFLUMETOFEN, CYFLUTHRIN, METOBROMURON AND PENTHIOPYRAD</w:t>
                    </w:r>
                  </w:hyperlink>
                </w:p>
                <w:p w14:paraId="46778172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published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(EU) 2023/173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amending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Annexes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II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III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(EC) No 396/2005 as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regards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maximum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residue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levels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1-methyl-3-(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trifluoromethyl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)-1H-pyrazole- 4-carboxamide (PAM),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cycloxydim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cyflumetofen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cyfluthrin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metobromuron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penthiopyrad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certain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products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.</w:t>
                  </w:r>
                </w:p>
                <w:p w14:paraId="71ADDC5C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 New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MRLs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(mg/kg):</w:t>
                  </w:r>
                </w:p>
                <w:p w14:paraId="35EBAF7B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Cyfluthrin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 (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no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longer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approved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 as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active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substance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)</w:t>
                  </w:r>
                </w:p>
                <w:p w14:paraId="2DB7D77A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Cherries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(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sweet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) 0.01</w:t>
                  </w:r>
                </w:p>
                <w:p w14:paraId="00D23C57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Plums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0.01</w:t>
                  </w:r>
                </w:p>
                <w:p w14:paraId="1C6180FE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Others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stone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fruits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(0140990) 0.01</w:t>
                  </w:r>
                </w:p>
                <w:p w14:paraId="639E4A44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Blueberries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0.01</w:t>
                  </w:r>
                </w:p>
                <w:p w14:paraId="4A940EAC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Cranberries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0.01</w:t>
                  </w:r>
                </w:p>
                <w:p w14:paraId="2D03B74D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Currants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(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black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white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) 0.01</w:t>
                  </w:r>
                </w:p>
                <w:p w14:paraId="029BBE26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lastRenderedPageBreak/>
                    <w:t>Gooseberries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(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green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yellow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) 0.01</w:t>
                  </w:r>
                </w:p>
                <w:p w14:paraId="2BDA5B9F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Rose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hips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0.01</w:t>
                  </w:r>
                </w:p>
                <w:p w14:paraId="72F9B5DB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Mulberries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(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black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white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)0.01</w:t>
                  </w:r>
                </w:p>
                <w:p w14:paraId="70C29442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Elderberries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0.01</w:t>
                  </w:r>
                </w:p>
                <w:p w14:paraId="73BE91FF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proofErr w:type="gram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other</w:t>
                  </w:r>
                  <w:proofErr w:type="spellEnd"/>
                  <w:proofErr w:type="gram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small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fruits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berries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(0154990) 0.01</w:t>
                  </w:r>
                </w:p>
                <w:p w14:paraId="70F3E4BC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Miscellaneous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fruits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except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kaki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0.01</w:t>
                  </w:r>
                </w:p>
                <w:p w14:paraId="579AFF4D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Oilseeds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oil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fruits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0.01</w:t>
                  </w:r>
                </w:p>
                <w:p w14:paraId="70410250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 </w:t>
                  </w:r>
                </w:p>
                <w:p w14:paraId="0902B2FF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Penthiopyrad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 (F)</w:t>
                  </w:r>
                </w:p>
                <w:p w14:paraId="4799A4E5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Apricots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3</w:t>
                  </w:r>
                </w:p>
                <w:p w14:paraId="6C57D13C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Peaches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3</w:t>
                  </w:r>
                </w:p>
                <w:p w14:paraId="0002E828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 </w:t>
                  </w:r>
                </w:p>
                <w:p w14:paraId="0A90F5AA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Sum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metobromuron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 4-bromophenylurea,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expressed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 as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metobromuron</w:t>
                  </w:r>
                  <w:proofErr w:type="spellEnd"/>
                </w:p>
                <w:p w14:paraId="762D37E6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Fruits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fresh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frozen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;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tree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nuts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0.02</w:t>
                  </w:r>
                </w:p>
                <w:p w14:paraId="3FC6629F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Oilseeds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oil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fruits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0.02</w:t>
                  </w:r>
                </w:p>
                <w:p w14:paraId="38C23611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 </w:t>
                  </w:r>
                </w:p>
                <w:p w14:paraId="0DA10EE2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Cycloxydim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including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degradation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reaction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products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which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 can be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determined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 as 3-(3-</w:t>
                  </w:r>
                  <w:proofErr w:type="gram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thianyl)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glutaric</w:t>
                  </w:r>
                  <w:proofErr w:type="spellEnd"/>
                  <w:proofErr w:type="gram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acid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 S-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dioxide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 (BH 517-TGSO2)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/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 3-hydroxy-3-(3-thianyl)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glutaric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acid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 S-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dioxide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 (BH 517-5-OH-TGSO2)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derivatives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thereof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calculated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 in total as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cycloxydim</w:t>
                  </w:r>
                  <w:proofErr w:type="spellEnd"/>
                </w:p>
                <w:p w14:paraId="76C4AC5F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Citrus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fruits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0.09</w:t>
                  </w:r>
                </w:p>
                <w:p w14:paraId="7215A228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Tree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nuts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0.09</w:t>
                  </w:r>
                </w:p>
                <w:p w14:paraId="42FADD3B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Pome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fruits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0.09</w:t>
                  </w:r>
                </w:p>
                <w:p w14:paraId="2D05EE49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Stone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fruits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0.09</w:t>
                  </w:r>
                </w:p>
                <w:p w14:paraId="579335CB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Grapes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0.3</w:t>
                  </w:r>
                </w:p>
                <w:p w14:paraId="45838D54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Cane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fruits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0.09</w:t>
                  </w:r>
                </w:p>
                <w:p w14:paraId="62D1AE86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Other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small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fruits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berries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(0154000) 0.09</w:t>
                  </w:r>
                </w:p>
                <w:p w14:paraId="212130CF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Miscellaneous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fruits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0.09</w:t>
                  </w:r>
                </w:p>
                <w:p w14:paraId="115A3EC8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Peanuts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/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groundnuts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0.09</w:t>
                  </w:r>
                </w:p>
                <w:p w14:paraId="4E27405E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Sesame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seeds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0.09</w:t>
                  </w:r>
                </w:p>
                <w:p w14:paraId="52DD3B73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Poppy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seeds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7</w:t>
                  </w:r>
                </w:p>
                <w:p w14:paraId="0C3E9ACC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Sunflower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seeds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7</w:t>
                  </w:r>
                </w:p>
                <w:p w14:paraId="58C54CCA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Rapeseeds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/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canola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seeds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7</w:t>
                  </w:r>
                </w:p>
                <w:p w14:paraId="241FC291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Mustard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seeds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6</w:t>
                  </w:r>
                </w:p>
                <w:p w14:paraId="7177FEB4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Cotton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seeds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7</w:t>
                  </w:r>
                </w:p>
                <w:p w14:paraId="23732AEA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Pumpkin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seeds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0.09</w:t>
                  </w:r>
                </w:p>
                <w:p w14:paraId="14421FAA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lastRenderedPageBreak/>
                    <w:t>Safflower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seeds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0.09</w:t>
                  </w:r>
                </w:p>
                <w:p w14:paraId="47C56944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Borage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seeds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7</w:t>
                  </w:r>
                </w:p>
                <w:p w14:paraId="7B642B7E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Gold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pleasure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seeds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0.09</w:t>
                  </w:r>
                </w:p>
                <w:p w14:paraId="4CE58027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Hemp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seeds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0.09</w:t>
                  </w:r>
                </w:p>
                <w:p w14:paraId="1B7229EB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Castor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beans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0.09</w:t>
                  </w:r>
                </w:p>
                <w:p w14:paraId="05BED65F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Others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oilseeds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0.09</w:t>
                  </w:r>
                </w:p>
                <w:p w14:paraId="05329E42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As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regards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PAM,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cycloxydim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cyflumetofen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cyfluthrin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metobromuron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penthiopyrad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all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products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(EC) No 396/2005 as it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stood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before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being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amended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by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this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shall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continue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apply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products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which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were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produced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Union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imported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into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Union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before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16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August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2023.</w:t>
                  </w:r>
                </w:p>
                <w:p w14:paraId="01EDEFBF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This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shall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enter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into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force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twentieth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day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following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that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publication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Official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Journal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European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Union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.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shall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apply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from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16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August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2023.</w:t>
                  </w:r>
                </w:p>
                <w:p w14:paraId="2013147B" w14:textId="77777777" w:rsidR="00066B04" w:rsidRPr="00066B04" w:rsidRDefault="00066B04" w:rsidP="00DD1E3D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More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information: </w:t>
                  </w:r>
                  <w:hyperlink r:id="rId27" w:history="1">
                    <w:r w:rsidRPr="00066B04">
                      <w:rPr>
                        <w:rFonts w:ascii="Arial" w:eastAsia="Times New Roman" w:hAnsi="Arial" w:cs="Arial"/>
                        <w:color w:val="0087B9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https://eur-lex.europa.eu/legal-content/EN/TXT/?uri=uriserv%3AOJ.L_.2023.025.01.0001.01.ENG&amp;toc=OJ%3AL%3A2023%3A025%3ATOC</w:t>
                    </w:r>
                  </w:hyperlink>
                </w:p>
                <w:p w14:paraId="3590DAF6" w14:textId="77777777" w:rsidR="00066B04" w:rsidRDefault="00066B04" w:rsidP="0096257D">
                  <w:pPr>
                    <w:numPr>
                      <w:ilvl w:val="1"/>
                      <w:numId w:val="2"/>
                    </w:numPr>
                    <w:spacing w:after="120" w:line="240" w:lineRule="auto"/>
                    <w:ind w:left="0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sz w:val="24"/>
                      <w:szCs w:val="24"/>
                      <w:lang w:eastAsia="tr-TR"/>
                    </w:rPr>
                  </w:pPr>
                </w:p>
                <w:p w14:paraId="48E490C3" w14:textId="0E74E564" w:rsidR="00066B04" w:rsidRPr="00066B04" w:rsidRDefault="00066B04" w:rsidP="0096257D">
                  <w:pPr>
                    <w:numPr>
                      <w:ilvl w:val="1"/>
                      <w:numId w:val="2"/>
                    </w:numPr>
                    <w:spacing w:after="120" w:line="240" w:lineRule="auto"/>
                    <w:ind w:left="0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sz w:val="24"/>
                      <w:szCs w:val="24"/>
                      <w:lang w:eastAsia="tr-TR"/>
                    </w:rPr>
                  </w:pPr>
                  <w:hyperlink r:id="rId28" w:history="1">
                    <w:r w:rsidRPr="00066B04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PESTICIDES: NEW OXATHIAPIPROLIN MRL FOR BLUEBERRIES</w:t>
                    </w:r>
                  </w:hyperlink>
                </w:p>
                <w:p w14:paraId="03926A2D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 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 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published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a</w:t>
                  </w:r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 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(EU) 2023/163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amending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Annexes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II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III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(EC) No 396/2005 as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regards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maximum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residue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levels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DDT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oxathiapiprolin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certain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products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.</w:t>
                  </w:r>
                </w:p>
                <w:p w14:paraId="22FFF1F4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An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application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import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tolerance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pursuant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Article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6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(EC) No 396/2005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was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submitted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oxathiapiprolin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used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United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States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blueberries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.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applicant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provided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gram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data</w:t>
                  </w:r>
                  <w:proofErr w:type="gram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showing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that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authorised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uses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that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substance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this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crop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United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States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lead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residues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exceeding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MRL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contained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(EC) No 396/2005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that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higher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MRL is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necessary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avoid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trade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barriers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importation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into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Union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that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crop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.</w:t>
                  </w:r>
                </w:p>
                <w:p w14:paraId="4FF1DA8F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New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MRLs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Oxathiapiprolin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(mg/kg):</w:t>
                  </w:r>
                </w:p>
                <w:p w14:paraId="0C5A6D47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Blueberries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0.5</w:t>
                  </w:r>
                </w:p>
                <w:p w14:paraId="041F01A8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This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shall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enter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into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force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twentieth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day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following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that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its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publication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Official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Journal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European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Union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(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published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25.1.2023).</w:t>
                  </w:r>
                </w:p>
                <w:p w14:paraId="75CD1AAE" w14:textId="10AB15ED" w:rsidR="00066B04" w:rsidRPr="00066B04" w:rsidRDefault="00066B04" w:rsidP="00DD1E3D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More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information:</w:t>
                  </w:r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 </w:t>
                  </w:r>
                  <w:hyperlink r:id="rId29" w:history="1">
                    <w:r w:rsidRPr="00066B04">
                      <w:rPr>
                        <w:rFonts w:ascii="Arial" w:eastAsia="Times New Roman" w:hAnsi="Arial" w:cs="Arial"/>
                        <w:color w:val="0087B9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https://eur-lex.europa.eu/legal-content/EN/TXT/?uri=uriserv%3AOJ.L_.2023.023.01.0001.01.ENG&amp;toc=OJ%3AL%3A2023%3A023%3ATOC</w:t>
                    </w:r>
                  </w:hyperlink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br/>
                  </w:r>
                </w:p>
                <w:p w14:paraId="588583FD" w14:textId="77777777" w:rsidR="00066B04" w:rsidRPr="00066B04" w:rsidRDefault="00066B04" w:rsidP="0096257D">
                  <w:pPr>
                    <w:numPr>
                      <w:ilvl w:val="1"/>
                      <w:numId w:val="2"/>
                    </w:numPr>
                    <w:spacing w:after="120" w:line="240" w:lineRule="auto"/>
                    <w:ind w:left="0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sz w:val="24"/>
                      <w:szCs w:val="24"/>
                      <w:lang w:eastAsia="tr-TR"/>
                    </w:rPr>
                  </w:pPr>
                  <w:hyperlink r:id="rId30" w:history="1">
                    <w:r w:rsidRPr="00066B04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ORGANICS: SOME CHANGES FOR THE LIST OF CONTROL AUTHORITIES AND CONTROL BODIES FOR THE PURPOSE OF IMPORTING ORGANIC PRODUCTS</w:t>
                    </w:r>
                  </w:hyperlink>
                </w:p>
                <w:p w14:paraId="152567A4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published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an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implementing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(EU) 2023/186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amending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Implementing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(EU) 2021/2325 as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regards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recognition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certain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control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authorities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control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bodies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purpose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importing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organic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products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into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Union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.</w:t>
                  </w:r>
                </w:p>
                <w:p w14:paraId="5705B32D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has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received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examined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request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from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‘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Certificadora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Mexicana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lastRenderedPageBreak/>
                    <w:t xml:space="preserve">de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productos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y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procesos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ecológicos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S.C.’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withdraw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recognition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product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category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Dominican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Republic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, Guatemala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El Salvador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due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lack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operators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.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has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received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examined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request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from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‘EKO-CONTROL SK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s.r.o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.’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withdraw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recognition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all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third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countries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which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it is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recognised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. ‘LETIS S.A.’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failed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provide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annual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report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following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subsequent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requests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updated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information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assessment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report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issued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by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accreditation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body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according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Article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33of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Council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(EC) No 834/2007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concerning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unprocessed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aquaculture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products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algae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which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it is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recognised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.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Furthermore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, ‘LETIS S.A.’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did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not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communicate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all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information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related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technical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dossier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.</w:t>
                  </w:r>
                </w:p>
                <w:p w14:paraId="10B7B2D2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LETIS S.A.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EKO-CONTROL SK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therefore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withdrawn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from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list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control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authorities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control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bodies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set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out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Annex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II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Implementing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(EU) 2021/2325.</w:t>
                  </w:r>
                </w:p>
                <w:p w14:paraId="7253E439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This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shall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enter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into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force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twentieth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day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following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that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publication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Official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Journal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European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Union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(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published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30.01.2023).</w:t>
                  </w:r>
                </w:p>
                <w:p w14:paraId="176758EB" w14:textId="77777777" w:rsidR="00066B04" w:rsidRPr="00066B04" w:rsidRDefault="00066B04" w:rsidP="00DD1E3D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More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information: </w:t>
                  </w:r>
                  <w:hyperlink r:id="rId31" w:history="1">
                    <w:r w:rsidRPr="00066B04">
                      <w:rPr>
                        <w:rFonts w:ascii="Arial" w:eastAsia="Times New Roman" w:hAnsi="Arial" w:cs="Arial"/>
                        <w:color w:val="0087B9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https://eur-lex.europa.eu/legal-content/EN/TXT/PDF/?uri=CELEX:32023R0186&amp;from=EN</w:t>
                    </w:r>
                  </w:hyperlink>
                </w:p>
                <w:p w14:paraId="00CAE126" w14:textId="77777777" w:rsidR="00066B04" w:rsidRPr="00066B04" w:rsidRDefault="00066B04" w:rsidP="0096257D">
                  <w:pPr>
                    <w:numPr>
                      <w:ilvl w:val="1"/>
                      <w:numId w:val="2"/>
                    </w:numPr>
                    <w:spacing w:after="120" w:line="240" w:lineRule="auto"/>
                    <w:ind w:left="0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sz w:val="24"/>
                      <w:szCs w:val="24"/>
                      <w:lang w:eastAsia="tr-TR"/>
                    </w:rPr>
                  </w:pPr>
                </w:p>
                <w:p w14:paraId="6DE8DF6E" w14:textId="112CDA99" w:rsidR="00066B04" w:rsidRPr="00066B04" w:rsidRDefault="00066B04" w:rsidP="0096257D">
                  <w:pPr>
                    <w:numPr>
                      <w:ilvl w:val="1"/>
                      <w:numId w:val="2"/>
                    </w:numPr>
                    <w:spacing w:after="120" w:line="240" w:lineRule="auto"/>
                    <w:ind w:left="0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sz w:val="24"/>
                      <w:szCs w:val="24"/>
                      <w:lang w:eastAsia="tr-TR"/>
                    </w:rPr>
                  </w:pPr>
                  <w:hyperlink r:id="rId32" w:history="1">
                    <w:r w:rsidRPr="00066B04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PESTICIDES: MEETING MINUTES OF THE </w:t>
                    </w:r>
                    <w:proofErr w:type="gramStart"/>
                    <w:r w:rsidRPr="00066B04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PHYTOPHARMACEUTICALS -</w:t>
                    </w:r>
                    <w:proofErr w:type="gramEnd"/>
                    <w:r w:rsidRPr="00066B04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LEGISLATION 13 - 14 OCTOBER 2022 PUBLISHED</w:t>
                    </w:r>
                  </w:hyperlink>
                </w:p>
                <w:p w14:paraId="19D077F9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Standing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Committee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Plants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, Animals, Food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Feed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Section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proofErr w:type="gram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Phytopharmaceuticals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-</w:t>
                  </w:r>
                  <w:proofErr w:type="gram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Legislation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13 - 14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October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2022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meeting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minutes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have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now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been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published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.</w:t>
                  </w:r>
                </w:p>
                <w:p w14:paraId="6D974C6B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Draft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(s)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presented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 an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opinion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:</w:t>
                  </w:r>
                </w:p>
                <w:p w14:paraId="605B9137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B.01 Exchange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views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possible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opinion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Committee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on 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draft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Implementing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(EU)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amending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Implementing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(EU) No 540/2011 as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regards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extension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approval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period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active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substance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glyphosate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.</w:t>
                  </w:r>
                </w:p>
                <w:p w14:paraId="33DEDDFF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presented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draft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recalling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reason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delay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peer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review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process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glyphosate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as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explained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previous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meetings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held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in May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July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2022,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following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announcement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by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EFSA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ECHA.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Committee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was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reminded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that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cases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where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reasons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beyond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control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applicant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, it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appears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that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approval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is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likely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expire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before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decision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has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been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taken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renewal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Article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17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(EC) No 1107/2009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provides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that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must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prolong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approval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period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sufficient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complete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renewal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assessment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.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Accordingly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given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that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additional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time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was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/is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required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by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AGG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EFSA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carry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out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full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assessment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peer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review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far,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neither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AGG, ECHA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EFSA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have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identified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evidence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demonstrating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that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glyphosate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no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longer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fulfils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approval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criteria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laid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down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1107/2009,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is 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clear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legal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obligation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extend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approval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which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should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be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respected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by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all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.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underlined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that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extension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is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without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prejudice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future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decision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whether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approval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glyphosate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can be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renewed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not,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which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will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have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be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taken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once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evaluation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peer-review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is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completed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.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Six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Member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States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indicated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that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they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did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not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support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presented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act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.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One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Member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State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indicated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support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but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expressed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criticism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about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delay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called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shorter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period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extension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(6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months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)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only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some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uses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be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permitted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(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excluding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use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permeable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lastRenderedPageBreak/>
                    <w:t>sealed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surfaces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as 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desiccant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).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Another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Member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State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indicated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it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would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make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protocol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declaration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(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see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below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).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proceeded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vote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during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meeting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.</w:t>
                  </w:r>
                </w:p>
                <w:p w14:paraId="07F75283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Vote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taken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: No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opinion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.</w:t>
                  </w:r>
                </w:p>
                <w:p w14:paraId="36251B05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B.02 Exchange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views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possible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opinion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Committee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on 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draft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Implementing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(EU)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renewing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approval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low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-risk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active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substance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fish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oil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accordance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with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(EC) No 1107/2009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European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Parliament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Council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concerning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placing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plant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protection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products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market,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amending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Annex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Implementing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(EU) No 540/2011.</w:t>
                  </w:r>
                </w:p>
                <w:p w14:paraId="488A67D5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presented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slightly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amended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version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annex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draft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implementing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which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takes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into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consideration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comment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received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by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one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Member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State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during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last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meeting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this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Committee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July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2022.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proceeded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vote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during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meeting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.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Vote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taken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: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Favourable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opinion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.</w:t>
                  </w:r>
                </w:p>
                <w:p w14:paraId="00BE2821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B.03 Exchange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views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possible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opinion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Committee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on 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draft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Implementing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(EU)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renewing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approval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active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substance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Pythium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oligandrum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strain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M1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accordance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with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(EC) No 1107/2009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European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Parliament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Council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concerning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placing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plant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protection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products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market,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amending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Annex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Implementing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(EU) No 540/2011.</w:t>
                  </w:r>
                </w:p>
                <w:p w14:paraId="1A1633FC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presented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draft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implementing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act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informed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about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slight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amendment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introduced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via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inter-services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consultation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compared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proposal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presented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at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meeting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July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. Two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Member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States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expressed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some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concern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regarding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renewal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approval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from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human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health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perspective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due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many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existing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gram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data</w:t>
                  </w:r>
                  <w:proofErr w:type="gram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gaps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due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evaluation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pathogenicity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consumer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risk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assessment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which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,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their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views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cannot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be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finalised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.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proceeded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vote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during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meeting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.</w:t>
                  </w:r>
                </w:p>
                <w:p w14:paraId="60D514A7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Vote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taken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: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Favourable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opinion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.</w:t>
                  </w:r>
                </w:p>
                <w:p w14:paraId="6986224B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B.04 Exchange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views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possible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opinion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Committee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on 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draft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Implementing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(EU)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renewing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approval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low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-risk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active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substance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heptamaloxyloglucan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accordance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with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(EC) No 1107/2009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European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Parliament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Council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concerning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placing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plant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protection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products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market,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amending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Annex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Implementing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(EU) No 540/2011.</w:t>
                  </w:r>
                </w:p>
                <w:p w14:paraId="59DE94AD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recalled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about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discussion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regulatory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scope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this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active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substance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which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took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place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during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last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meetings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this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Committee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.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After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consultation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with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DG GROW (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responsible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Regulation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fertilisers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)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academia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taking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into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account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comments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applicants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Member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States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substance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was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confirmed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be 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phytopharmaceutical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substance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because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mode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action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does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not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influence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nutritional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processes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plants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.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also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reminded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about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low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-risk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nature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active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substance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.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proceeded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vote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during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meeting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.</w:t>
                  </w:r>
                </w:p>
                <w:p w14:paraId="4AFA8D3C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Vote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taken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: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Favourable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opinion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.</w:t>
                  </w:r>
                </w:p>
                <w:p w14:paraId="09090F37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Also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discussed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u w:val="single"/>
                      <w:lang w:eastAsia="tr-TR"/>
                    </w:rPr>
                    <w:t>:</w:t>
                  </w:r>
                </w:p>
                <w:p w14:paraId="3B997158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informed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that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it had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recently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sent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mandates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EFSA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two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lastRenderedPageBreak/>
                    <w:t>substances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where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critical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concerns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were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identified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during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ongoing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renewal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procedures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: s-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metolachlor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dimoxystrobin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.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explained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that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if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concerns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confirmed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EFSA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outputs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such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that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approval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criteria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not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fulfilled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, it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would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act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smoothly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with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respective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regulatory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decision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making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.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particular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S-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metolachlor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EFSA had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informed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critical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concerns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(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groundwater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contamination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risks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birds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)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identified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when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drafting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Conclusion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. 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mandate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was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sent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EFSA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deliver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conclusion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by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31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January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2023 (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excluding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ED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assessment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).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Once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EFSA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Conclusion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is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available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will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consult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applicant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before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deciding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how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proceed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.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For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Dimoxystrobin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. EFSA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informed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before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requesting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additional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information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on ED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properties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that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rest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assessment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had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been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completed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that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critical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concerns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had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been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identified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concerning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groundwater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contamination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by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relevant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metabolites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a risk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aquatic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organisms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.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mandated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EFSA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produce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statement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limited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environmental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assessment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EFSA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made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statement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available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Member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States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applicant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on 11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October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2022.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Member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States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were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invited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provide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comments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views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EFSA Statement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by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4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November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2022.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applicant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has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also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been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consulted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on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statement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.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Commission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reminded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that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all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comments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will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be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considered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before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proceeding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.</w:t>
                  </w:r>
                </w:p>
                <w:p w14:paraId="089E17EF" w14:textId="77777777" w:rsidR="00066B04" w:rsidRPr="00066B04" w:rsidRDefault="00066B04" w:rsidP="00DD1E3D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>More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2D2D38"/>
                      <w:sz w:val="24"/>
                      <w:szCs w:val="24"/>
                      <w:lang w:eastAsia="tr-TR"/>
                    </w:rPr>
                    <w:t xml:space="preserve"> information: </w:t>
                  </w:r>
                  <w:hyperlink r:id="rId33" w:history="1">
                    <w:r w:rsidRPr="00066B04">
                      <w:rPr>
                        <w:rFonts w:ascii="Arial" w:eastAsia="Times New Roman" w:hAnsi="Arial" w:cs="Arial"/>
                        <w:color w:val="0087B9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https://food.ec.europa.eu/system/files/2023-01/sc_phyto_20221013_ppl_sum.pdf</w:t>
                    </w:r>
                  </w:hyperlink>
                </w:p>
                <w:p w14:paraId="32E82733" w14:textId="77777777" w:rsidR="0096257D" w:rsidRPr="0096257D" w:rsidRDefault="0096257D" w:rsidP="0096257D">
                  <w:pPr>
                    <w:numPr>
                      <w:ilvl w:val="1"/>
                      <w:numId w:val="2"/>
                    </w:numPr>
                    <w:spacing w:after="120" w:line="240" w:lineRule="auto"/>
                    <w:ind w:left="0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sz w:val="24"/>
                      <w:szCs w:val="24"/>
                      <w:lang w:eastAsia="tr-TR"/>
                    </w:rPr>
                  </w:pPr>
                </w:p>
                <w:p w14:paraId="565C7CC3" w14:textId="6A6B56A7" w:rsidR="00066B04" w:rsidRPr="00066B04" w:rsidRDefault="00066B04" w:rsidP="0096257D">
                  <w:pPr>
                    <w:numPr>
                      <w:ilvl w:val="1"/>
                      <w:numId w:val="2"/>
                    </w:numPr>
                    <w:spacing w:after="120" w:line="240" w:lineRule="auto"/>
                    <w:ind w:left="0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sz w:val="24"/>
                      <w:szCs w:val="24"/>
                      <w:lang w:eastAsia="tr-TR"/>
                    </w:rPr>
                  </w:pPr>
                  <w:hyperlink r:id="rId34" w:history="1">
                    <w:r w:rsidRPr="00066B04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RASFF NOTIFICATIONS: 2023/04 (23/01/</w:t>
                    </w:r>
                    <w:proofErr w:type="gramStart"/>
                    <w:r w:rsidRPr="00066B04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2023 -</w:t>
                    </w:r>
                    <w:proofErr w:type="gramEnd"/>
                    <w:r w:rsidRPr="00066B04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 xml:space="preserve"> 29/01/2023)</w:t>
                    </w:r>
                  </w:hyperlink>
                </w:p>
                <w:p w14:paraId="352B18B0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Please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find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below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a FRUCOM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report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compiling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RASFF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notifications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week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2023/04 (23/01/</w:t>
                  </w:r>
                  <w:proofErr w:type="gram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2023 -</w:t>
                  </w:r>
                  <w:proofErr w:type="gram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29/01/2023).</w:t>
                  </w:r>
                </w:p>
                <w:p w14:paraId="515ED53A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Information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provided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in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report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is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based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on RASFF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notifications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published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on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the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DG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SANTE’s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 xml:space="preserve"> online </w:t>
                  </w:r>
                  <w:proofErr w:type="spellStart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database</w:t>
                  </w:r>
                  <w:proofErr w:type="spellEnd"/>
                  <w:r w:rsidRPr="00066B0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  <w:t>.</w:t>
                  </w:r>
                </w:p>
                <w:p w14:paraId="3E27023D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  <w:hyperlink r:id="rId35" w:history="1">
                    <w:r w:rsidRPr="00066B04">
                      <w:rPr>
                        <w:rFonts w:ascii="Arial" w:eastAsia="Times New Roman" w:hAnsi="Arial" w:cs="Arial"/>
                        <w:color w:val="0087B9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FRUCOMRA</w:t>
                    </w:r>
                    <w:r w:rsidRPr="00066B04">
                      <w:rPr>
                        <w:rFonts w:ascii="Arial" w:eastAsia="Times New Roman" w:hAnsi="Arial" w:cs="Arial"/>
                        <w:color w:val="0087B9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</w:rPr>
                      <w:t>SFF2023_week04</w:t>
                    </w:r>
                  </w:hyperlink>
                </w:p>
                <w:p w14:paraId="798DB4C6" w14:textId="6EAFD42B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066B04" w:rsidRPr="00066B04" w14:paraId="07E33AC1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91E3BA7" w14:textId="77777777" w:rsidR="00066B04" w:rsidRPr="00066B04" w:rsidRDefault="00066B04" w:rsidP="009625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3351C3B9" w14:textId="77777777" w:rsidR="00066B04" w:rsidRPr="00066B04" w:rsidRDefault="00066B04" w:rsidP="0096257D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2D2D38"/>
                <w:sz w:val="24"/>
                <w:szCs w:val="24"/>
                <w:lang w:eastAsia="tr-TR"/>
              </w:rPr>
            </w:pPr>
          </w:p>
        </w:tc>
      </w:tr>
    </w:tbl>
    <w:p w14:paraId="4F3FEE1F" w14:textId="77777777" w:rsidR="00EF657A" w:rsidRPr="00066B04" w:rsidRDefault="00EF657A" w:rsidP="0096257D">
      <w:pPr>
        <w:spacing w:after="120" w:line="240" w:lineRule="auto"/>
        <w:jc w:val="both"/>
        <w:rPr>
          <w:sz w:val="24"/>
          <w:szCs w:val="24"/>
        </w:rPr>
      </w:pPr>
    </w:p>
    <w:sectPr w:rsidR="00EF657A" w:rsidRPr="00066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AB0"/>
    <w:multiLevelType w:val="multilevel"/>
    <w:tmpl w:val="1334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36680"/>
    <w:multiLevelType w:val="multilevel"/>
    <w:tmpl w:val="F76A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5552284">
    <w:abstractNumId w:val="1"/>
  </w:num>
  <w:num w:numId="2" w16cid:durableId="132365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FF"/>
    <w:rsid w:val="00066B04"/>
    <w:rsid w:val="00233D2D"/>
    <w:rsid w:val="004C6816"/>
    <w:rsid w:val="008F101B"/>
    <w:rsid w:val="0096257D"/>
    <w:rsid w:val="009E09FF"/>
    <w:rsid w:val="00C073AC"/>
    <w:rsid w:val="00C365E6"/>
    <w:rsid w:val="00C5603A"/>
    <w:rsid w:val="00CD3BBD"/>
    <w:rsid w:val="00D36EB8"/>
    <w:rsid w:val="00DA1C45"/>
    <w:rsid w:val="00DD1E3D"/>
    <w:rsid w:val="00E4174E"/>
    <w:rsid w:val="00EE0DF5"/>
    <w:rsid w:val="00EF657A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14A1"/>
  <w15:chartTrackingRefBased/>
  <w15:docId w15:val="{CF297628-FAD7-4C51-81EF-B35EADB1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66B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066B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066B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66B0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66B0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066B0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66B0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66B04"/>
    <w:rPr>
      <w:b/>
      <w:bCs/>
    </w:rPr>
  </w:style>
  <w:style w:type="character" w:styleId="Vurgu">
    <w:name w:val="Emphasis"/>
    <w:basedOn w:val="VarsaylanParagrafYazTipi"/>
    <w:uiPriority w:val="20"/>
    <w:qFormat/>
    <w:rsid w:val="00066B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444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90048242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30122805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205396649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906959289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496801935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01338614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351250734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758362058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464735904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https://frucom.eu/component/attachments/attachments.html?task=attachment&amp;id=1955" TargetMode="External"/><Relationship Id="rId26" Type="http://schemas.openxmlformats.org/officeDocument/2006/relationships/hyperlink" Target="javascript:void(0);" TargetMode="External"/><Relationship Id="rId21" Type="http://schemas.openxmlformats.org/officeDocument/2006/relationships/hyperlink" Target="https://frucom.eu/circulars/3604:official-controls-articles-66-and-67,-status-quo-september-2022.html" TargetMode="External"/><Relationship Id="rId34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https://www.consilium.europa.eu/en/meetings/international-summit/2023/02/03/" TargetMode="External"/><Relationship Id="rId33" Type="http://schemas.openxmlformats.org/officeDocument/2006/relationships/hyperlink" Target="https://food.ec.europa.eu/system/files/2023-01/sc_phyto_20221013_ppl_sum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gle/orjhGqtngFYNUhXe9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https://eur-lex.europa.eu/legal-content/EN/TXT/?uri=uriserv%3AOJ.L_.2023.023.01.0001.01.ENG&amp;toc=OJ%3AL%3A2023%3A023%3ATOC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theme" Target="theme/theme1.xm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https://www.eeas.europa.eu/delegations/australia/transition-net-zero-needs-ambitious-trade-agenda-ec-president_en?s=163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fontTable" Target="fontTable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s://frucom.eu/component/attachments/attachments.html?task=attachment&amp;id=1954" TargetMode="External"/><Relationship Id="rId31" Type="http://schemas.openxmlformats.org/officeDocument/2006/relationships/hyperlink" Target="https://eur-lex.europa.eu/legal-content/EN/TXT/PDF/?uri=CELEX:32023R0186&amp;from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https://eur-lex.europa.eu/legal-content/EN/TXT/?uri=uriserv%3AOJ.L_.2023.025.01.0001.01.ENG&amp;toc=OJ%3AL%3A2023%3A025%3ATOC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https://frucom.eu/component/attachments/attachments.html?task=attachment&amp;id=1953" TargetMode="External"/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2908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 Turk</dc:creator>
  <cp:keywords/>
  <dc:description/>
  <cp:lastModifiedBy>Bilge Turk</cp:lastModifiedBy>
  <cp:revision>2</cp:revision>
  <dcterms:created xsi:type="dcterms:W3CDTF">2023-01-31T05:36:00Z</dcterms:created>
  <dcterms:modified xsi:type="dcterms:W3CDTF">2023-01-31T05:36:00Z</dcterms:modified>
</cp:coreProperties>
</file>